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8EDB9" w14:textId="77777777" w:rsidR="00685358" w:rsidRPr="00515462" w:rsidRDefault="00685358" w:rsidP="00685358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Plantilla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6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Hoja de ruta de inversión cripto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(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 de estrategia, planificación y ejecución para inversores de criptoactivos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>)</w:t>
      </w:r>
    </w:p>
    <w:p w14:paraId="3D54A334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7305E94A" w14:textId="77777777" w:rsidR="00685358" w:rsidRPr="000C4DA8" w:rsidRDefault="00685358" w:rsidP="00685358">
      <w:pPr>
        <w:jc w:val="both"/>
        <w:rPr>
          <w:rFonts w:eastAsiaTheme="minorEastAsia"/>
          <w:b/>
          <w:bCs/>
          <w:lang w:eastAsia="es-ES"/>
        </w:rPr>
      </w:pPr>
      <w:r w:rsidRPr="000C4DA8">
        <w:rPr>
          <w:rFonts w:eastAsiaTheme="minorEastAsia"/>
          <w:b/>
          <w:bCs/>
          <w:lang w:eastAsia="es-ES"/>
        </w:rPr>
        <w:t>Introducción</w:t>
      </w:r>
    </w:p>
    <w:p w14:paraId="44D3AF33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Esta </w:t>
      </w:r>
      <w:r w:rsidRPr="00BB1585">
        <w:rPr>
          <w:rFonts w:eastAsiaTheme="minorEastAsia"/>
          <w:lang w:eastAsia="es-ES"/>
        </w:rPr>
        <w:t xml:space="preserve">plantilla diseñada para ayudar al inversor </w:t>
      </w:r>
      <w:r>
        <w:rPr>
          <w:rFonts w:eastAsiaTheme="minorEastAsia"/>
          <w:lang w:eastAsia="es-ES"/>
        </w:rPr>
        <w:t>-</w:t>
      </w:r>
      <w:r w:rsidRPr="00BB1585">
        <w:rPr>
          <w:rFonts w:eastAsiaTheme="minorEastAsia"/>
          <w:lang w:eastAsia="es-ES"/>
        </w:rPr>
        <w:t>sea principiante o avanzado</w:t>
      </w:r>
      <w:r>
        <w:rPr>
          <w:rFonts w:eastAsiaTheme="minorEastAsia"/>
          <w:lang w:eastAsia="es-ES"/>
        </w:rPr>
        <w:t>-</w:t>
      </w:r>
      <w:r w:rsidRPr="00BB1585">
        <w:rPr>
          <w:rFonts w:eastAsiaTheme="minorEastAsia"/>
          <w:lang w:eastAsia="es-ES"/>
        </w:rPr>
        <w:t xml:space="preserve"> a visualizar su evolución, definir </w:t>
      </w:r>
      <w:r>
        <w:rPr>
          <w:rFonts w:eastAsiaTheme="minorEastAsia"/>
          <w:lang w:eastAsia="es-ES"/>
        </w:rPr>
        <w:t>objetivos</w:t>
      </w:r>
      <w:r w:rsidRPr="00BB1585">
        <w:rPr>
          <w:rFonts w:eastAsiaTheme="minorEastAsia"/>
          <w:lang w:eastAsia="es-ES"/>
        </w:rPr>
        <w:t xml:space="preserve">, evaluar riesgos y construir una cartera </w:t>
      </w:r>
      <w:r>
        <w:rPr>
          <w:rFonts w:eastAsiaTheme="minorEastAsia"/>
          <w:lang w:eastAsia="es-ES"/>
        </w:rPr>
        <w:t>en consonancia</w:t>
      </w:r>
      <w:r w:rsidRPr="00BB1585">
        <w:rPr>
          <w:rFonts w:eastAsiaTheme="minorEastAsia"/>
          <w:lang w:eastAsia="es-ES"/>
        </w:rPr>
        <w:t xml:space="preserve"> a </w:t>
      </w:r>
      <w:r>
        <w:rPr>
          <w:rFonts w:eastAsiaTheme="minorEastAsia"/>
          <w:lang w:eastAsia="es-ES"/>
        </w:rPr>
        <w:t xml:space="preserve"> </w:t>
      </w:r>
      <w:proofErr w:type="spellStart"/>
      <w:r>
        <w:rPr>
          <w:rFonts w:eastAsiaTheme="minorEastAsia"/>
          <w:lang w:eastAsia="es-ES"/>
        </w:rPr>
        <w:t>a</w:t>
      </w:r>
      <w:proofErr w:type="spellEnd"/>
      <w:r>
        <w:rPr>
          <w:rFonts w:eastAsiaTheme="minorEastAsia"/>
          <w:lang w:eastAsia="es-ES"/>
        </w:rPr>
        <w:t xml:space="preserve"> los</w:t>
      </w:r>
      <w:r w:rsidRPr="00BB1585">
        <w:rPr>
          <w:rFonts w:eastAsiaTheme="minorEastAsia"/>
          <w:lang w:eastAsia="es-ES"/>
        </w:rPr>
        <w:t xml:space="preserve"> objetivos financieros, tolerancia al riesgo y visión temporal.</w:t>
      </w:r>
    </w:p>
    <w:p w14:paraId="07F4FFFD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I</w:t>
      </w:r>
      <w:r w:rsidRPr="00BB1585">
        <w:rPr>
          <w:rFonts w:eastAsiaTheme="minorEastAsia"/>
          <w:lang w:eastAsia="es-ES"/>
        </w:rPr>
        <w:t>nvertir en criptomonedas no debe ser un acto impulsivo ni basado en tendencias virales. Dada su volatilidad, descentralización y naturaleza emergente, el mercado cripto requiere una planificación estructurada, disciplinada y adaptativa. Así como las empresas desarrollan hojas de ruta para adoptar tecnologías disruptivas, los inversores necesitan una guía que combine visión estratégica, ejecución táctica y autogestión del riesgo.</w:t>
      </w:r>
    </w:p>
    <w:p w14:paraId="5D0D32D3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5E639F0B" w14:textId="77777777" w:rsidR="00685358" w:rsidRDefault="00685358" w:rsidP="00685358">
      <w:pPr>
        <w:jc w:val="both"/>
        <w:rPr>
          <w:rFonts w:eastAsiaTheme="minorEastAsia"/>
          <w:b/>
          <w:bCs/>
          <w:lang w:eastAsia="es-ES"/>
        </w:rPr>
      </w:pPr>
      <w:r w:rsidRPr="0050048C">
        <w:rPr>
          <w:rFonts w:eastAsiaTheme="minorEastAsia"/>
          <w:b/>
          <w:bCs/>
          <w:lang w:eastAsia="es-ES"/>
        </w:rPr>
        <w:t>Objetivos de la plantilla</w:t>
      </w:r>
    </w:p>
    <w:p w14:paraId="2ED95365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923386">
        <w:rPr>
          <w:rFonts w:eastAsiaTheme="minorEastAsia"/>
          <w:lang w:eastAsia="es-ES"/>
        </w:rPr>
        <w:t>Esta plantilla quiere trabajar los siguientes aspectos:</w:t>
      </w:r>
    </w:p>
    <w:p w14:paraId="626120D5" w14:textId="77777777" w:rsidR="00685358" w:rsidRPr="004362DE" w:rsidRDefault="00685358" w:rsidP="00685358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4362DE">
        <w:rPr>
          <w:rFonts w:eastAsiaTheme="minorEastAsia"/>
          <w:lang w:eastAsia="es-ES"/>
        </w:rPr>
        <w:t>Establecer una visión estratégica de inversión a corto, medio y largo plazo.</w:t>
      </w:r>
    </w:p>
    <w:p w14:paraId="43356EBC" w14:textId="77777777" w:rsidR="00685358" w:rsidRPr="004362DE" w:rsidRDefault="00685358" w:rsidP="00685358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4362DE">
        <w:rPr>
          <w:rFonts w:eastAsiaTheme="minorEastAsia"/>
          <w:lang w:eastAsia="es-ES"/>
        </w:rPr>
        <w:t>Integrar análisis técnico, fundamental, fiscal y psicológico.</w:t>
      </w:r>
    </w:p>
    <w:p w14:paraId="73E5F697" w14:textId="77777777" w:rsidR="00685358" w:rsidRPr="004362DE" w:rsidRDefault="00685358" w:rsidP="00685358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4362DE">
        <w:rPr>
          <w:rFonts w:eastAsiaTheme="minorEastAsia"/>
          <w:lang w:eastAsia="es-ES"/>
        </w:rPr>
        <w:t>Definir procesos iterativos de revisión, corrección y aprendizaje.</w:t>
      </w:r>
    </w:p>
    <w:p w14:paraId="5831E5F5" w14:textId="77777777" w:rsidR="00685358" w:rsidRPr="004362DE" w:rsidRDefault="00685358" w:rsidP="00685358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Disminuir</w:t>
      </w:r>
      <w:r w:rsidRPr="004362DE">
        <w:rPr>
          <w:rFonts w:eastAsiaTheme="minorEastAsia"/>
          <w:lang w:eastAsia="es-ES"/>
        </w:rPr>
        <w:t xml:space="preserve"> la improvisación y aumentar la consistencia operativa.</w:t>
      </w:r>
    </w:p>
    <w:p w14:paraId="0D4FBF73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47705147" w14:textId="77777777" w:rsidR="00685358" w:rsidRPr="004362DE" w:rsidRDefault="00685358" w:rsidP="00685358">
      <w:pPr>
        <w:jc w:val="both"/>
        <w:rPr>
          <w:rFonts w:eastAsiaTheme="minorEastAsia"/>
          <w:b/>
          <w:bCs/>
          <w:lang w:eastAsia="es-ES"/>
        </w:rPr>
      </w:pPr>
      <w:r w:rsidRPr="004362DE">
        <w:rPr>
          <w:rFonts w:eastAsiaTheme="minorEastAsia"/>
          <w:b/>
          <w:bCs/>
          <w:lang w:eastAsia="es-ES"/>
        </w:rPr>
        <w:t>Estructura de la plantilla</w:t>
      </w:r>
    </w:p>
    <w:p w14:paraId="3AEAFAF8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362DE">
        <w:rPr>
          <w:rFonts w:eastAsiaTheme="minorEastAsia"/>
          <w:lang w:eastAsia="es-ES"/>
        </w:rPr>
        <w:t xml:space="preserve">La hoja de ruta está compuesta por siete </w:t>
      </w:r>
      <w:r>
        <w:rPr>
          <w:rFonts w:eastAsiaTheme="minorEastAsia"/>
          <w:lang w:eastAsia="es-ES"/>
        </w:rPr>
        <w:t xml:space="preserve">secciones </w:t>
      </w:r>
      <w:r w:rsidRPr="004362DE">
        <w:rPr>
          <w:rFonts w:eastAsiaTheme="minorEastAsia"/>
          <w:lang w:eastAsia="es-ES"/>
        </w:rPr>
        <w:t>que cubren el ciclo completo de</w:t>
      </w:r>
      <w:r>
        <w:rPr>
          <w:rFonts w:eastAsiaTheme="minorEastAsia"/>
          <w:lang w:eastAsia="es-ES"/>
        </w:rPr>
        <w:t>l proceso de</w:t>
      </w:r>
      <w:r w:rsidRPr="004362DE">
        <w:rPr>
          <w:rFonts w:eastAsiaTheme="minorEastAsia"/>
          <w:lang w:eastAsia="es-ES"/>
        </w:rPr>
        <w:t xml:space="preserve"> inversión</w:t>
      </w:r>
      <w:r>
        <w:rPr>
          <w:rFonts w:eastAsiaTheme="minorEastAsia"/>
          <w:lang w:eastAsia="es-ES"/>
        </w:rPr>
        <w:t xml:space="preserve"> en criptoactivos.</w:t>
      </w:r>
    </w:p>
    <w:p w14:paraId="63AABE54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28548C3C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1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Diagnóstico inicial del inversor</w:t>
      </w:r>
    </w:p>
    <w:p w14:paraId="4E94ACF7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 xml:space="preserve">permite el </w:t>
      </w:r>
      <w:r w:rsidRPr="00B03B2C">
        <w:rPr>
          <w:rFonts w:eastAsiaTheme="minorEastAsia"/>
          <w:lang w:eastAsia="es-ES"/>
        </w:rPr>
        <w:t>diagnóstico personaliza</w:t>
      </w:r>
      <w:r>
        <w:rPr>
          <w:rFonts w:eastAsiaTheme="minorEastAsia"/>
          <w:lang w:eastAsia="es-ES"/>
        </w:rPr>
        <w:t>do</w:t>
      </w:r>
      <w:r w:rsidRPr="00B03B2C">
        <w:rPr>
          <w:rFonts w:eastAsiaTheme="minorEastAsia"/>
          <w:lang w:eastAsia="es-ES"/>
        </w:rPr>
        <w:t xml:space="preserve"> el camino de inversión y establecer parámetros realistas. Se sugiere revisar cada trimestre.</w:t>
      </w:r>
    </w:p>
    <w:p w14:paraId="38BC7166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685358" w:rsidRPr="00F10F58" w14:paraId="5BF6ABEE" w14:textId="77777777" w:rsidTr="00DC0209">
        <w:tc>
          <w:tcPr>
            <w:tcW w:w="4531" w:type="dxa"/>
            <w:vAlign w:val="center"/>
          </w:tcPr>
          <w:p w14:paraId="30571E96" w14:textId="77777777" w:rsidR="00685358" w:rsidRPr="00F10F5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Variable</w:t>
            </w:r>
          </w:p>
        </w:tc>
        <w:tc>
          <w:tcPr>
            <w:tcW w:w="3963" w:type="dxa"/>
            <w:vAlign w:val="center"/>
          </w:tcPr>
          <w:p w14:paraId="193D33BD" w14:textId="77777777" w:rsidR="00685358" w:rsidRPr="00F10F5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Resultado</w:t>
            </w:r>
          </w:p>
        </w:tc>
      </w:tr>
      <w:tr w:rsidR="00685358" w:rsidRPr="00F10F58" w14:paraId="039F18A0" w14:textId="77777777" w:rsidTr="00DC0209">
        <w:tc>
          <w:tcPr>
            <w:tcW w:w="4531" w:type="dxa"/>
            <w:vAlign w:val="center"/>
          </w:tcPr>
          <w:p w14:paraId="212EB43C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proofErr w:type="gramStart"/>
            <w:r>
              <w:rPr>
                <w:rFonts w:eastAsiaTheme="minorEastAsia"/>
                <w:sz w:val="22"/>
                <w:szCs w:val="22"/>
                <w:lang w:eastAsia="es-ES"/>
              </w:rPr>
              <w:t>Capital disponible a invertir</w:t>
            </w:r>
            <w:proofErr w:type="gram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(EUR)</w:t>
            </w:r>
          </w:p>
        </w:tc>
        <w:tc>
          <w:tcPr>
            <w:tcW w:w="3963" w:type="dxa"/>
            <w:vAlign w:val="center"/>
          </w:tcPr>
          <w:p w14:paraId="17C5356B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10.000€</w:t>
            </w:r>
          </w:p>
        </w:tc>
      </w:tr>
      <w:tr w:rsidR="00685358" w:rsidRPr="00F10F58" w14:paraId="4B12C025" w14:textId="77777777" w:rsidTr="00DC0209">
        <w:tc>
          <w:tcPr>
            <w:tcW w:w="4531" w:type="dxa"/>
            <w:vAlign w:val="center"/>
          </w:tcPr>
          <w:p w14:paraId="098061EF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Horizonte temporal</w:t>
            </w:r>
          </w:p>
        </w:tc>
        <w:tc>
          <w:tcPr>
            <w:tcW w:w="3963" w:type="dxa"/>
            <w:vAlign w:val="center"/>
          </w:tcPr>
          <w:p w14:paraId="1D39BCF5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3 años</w:t>
            </w:r>
          </w:p>
        </w:tc>
      </w:tr>
      <w:tr w:rsidR="00685358" w:rsidRPr="00F10F58" w14:paraId="40F04E29" w14:textId="77777777" w:rsidTr="00DC0209">
        <w:tc>
          <w:tcPr>
            <w:tcW w:w="4531" w:type="dxa"/>
            <w:vAlign w:val="center"/>
          </w:tcPr>
          <w:p w14:paraId="29622DAD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Nivel de experiencia</w:t>
            </w:r>
          </w:p>
        </w:tc>
        <w:tc>
          <w:tcPr>
            <w:tcW w:w="3963" w:type="dxa"/>
            <w:vAlign w:val="center"/>
          </w:tcPr>
          <w:p w14:paraId="367EFE58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Medio</w:t>
            </w:r>
          </w:p>
        </w:tc>
      </w:tr>
      <w:tr w:rsidR="00685358" w:rsidRPr="00F10F58" w14:paraId="0C469E30" w14:textId="77777777" w:rsidTr="00DC0209">
        <w:tc>
          <w:tcPr>
            <w:tcW w:w="4531" w:type="dxa"/>
            <w:vAlign w:val="center"/>
          </w:tcPr>
          <w:p w14:paraId="5DF34CB7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Tolerancia al riesgo</w:t>
            </w:r>
          </w:p>
        </w:tc>
        <w:tc>
          <w:tcPr>
            <w:tcW w:w="3963" w:type="dxa"/>
            <w:vAlign w:val="center"/>
          </w:tcPr>
          <w:p w14:paraId="59D2EFCE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Moderado</w:t>
            </w:r>
          </w:p>
        </w:tc>
      </w:tr>
      <w:tr w:rsidR="00685358" w:rsidRPr="00F10F58" w14:paraId="1AE58011" w14:textId="77777777" w:rsidTr="00DC0209">
        <w:tc>
          <w:tcPr>
            <w:tcW w:w="4531" w:type="dxa"/>
            <w:vAlign w:val="center"/>
          </w:tcPr>
          <w:p w14:paraId="0C2F3D94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Frecuencia deseada de operaciones</w:t>
            </w:r>
          </w:p>
        </w:tc>
        <w:tc>
          <w:tcPr>
            <w:tcW w:w="3963" w:type="dxa"/>
            <w:vAlign w:val="center"/>
          </w:tcPr>
          <w:p w14:paraId="0B5A1BB4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Mensual</w:t>
            </w:r>
          </w:p>
        </w:tc>
      </w:tr>
      <w:tr w:rsidR="00685358" w:rsidRPr="00F10F58" w14:paraId="5E19A25D" w14:textId="77777777" w:rsidTr="00DC0209">
        <w:tc>
          <w:tcPr>
            <w:tcW w:w="4531" w:type="dxa"/>
            <w:vAlign w:val="center"/>
          </w:tcPr>
          <w:p w14:paraId="716EBE13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Objetivo principal</w:t>
            </w:r>
          </w:p>
        </w:tc>
        <w:tc>
          <w:tcPr>
            <w:tcW w:w="3963" w:type="dxa"/>
            <w:vAlign w:val="center"/>
          </w:tcPr>
          <w:p w14:paraId="407EDE0E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Acumulación patrimonial</w:t>
            </w:r>
          </w:p>
        </w:tc>
      </w:tr>
    </w:tbl>
    <w:p w14:paraId="1876BD7A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75: Diagnóstico inicial del inversor.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1E4FB62F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730CD9C6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4F0B83AE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2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Definición de los objetivos financieros</w:t>
      </w:r>
    </w:p>
    <w:p w14:paraId="07C782B4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>permite realizar un seguimiento de los objetivos financieros</w:t>
      </w:r>
      <w:r w:rsidRPr="00B03B2C">
        <w:rPr>
          <w:rFonts w:eastAsiaTheme="minorEastAsia"/>
          <w:lang w:eastAsia="es-ES"/>
        </w:rPr>
        <w:t>.</w:t>
      </w:r>
      <w:r>
        <w:rPr>
          <w:rFonts w:eastAsiaTheme="minorEastAsia"/>
          <w:lang w:eastAsia="es-ES"/>
        </w:rPr>
        <w:t xml:space="preserve"> </w:t>
      </w:r>
      <w:r w:rsidRPr="00EA4041">
        <w:rPr>
          <w:rFonts w:eastAsiaTheme="minorEastAsia"/>
          <w:lang w:eastAsia="es-ES"/>
        </w:rPr>
        <w:t>Los objetivos deben ser medibles, alcanzables y revisables, siguiendo el modelo SMART.</w:t>
      </w:r>
    </w:p>
    <w:p w14:paraId="0BEDFABA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85358" w:rsidRPr="00D84004" w14:paraId="58E4FABC" w14:textId="77777777" w:rsidTr="00DC0209">
        <w:tc>
          <w:tcPr>
            <w:tcW w:w="2123" w:type="dxa"/>
            <w:vAlign w:val="center"/>
          </w:tcPr>
          <w:p w14:paraId="43B8620D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Objetivo</w:t>
            </w:r>
          </w:p>
        </w:tc>
        <w:tc>
          <w:tcPr>
            <w:tcW w:w="2123" w:type="dxa"/>
            <w:vAlign w:val="center"/>
          </w:tcPr>
          <w:p w14:paraId="13965435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Plazo</w:t>
            </w:r>
          </w:p>
        </w:tc>
        <w:tc>
          <w:tcPr>
            <w:tcW w:w="2124" w:type="dxa"/>
            <w:vAlign w:val="center"/>
          </w:tcPr>
          <w:p w14:paraId="092933AC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Indicador de éxito</w:t>
            </w:r>
          </w:p>
        </w:tc>
        <w:tc>
          <w:tcPr>
            <w:tcW w:w="2124" w:type="dxa"/>
            <w:vAlign w:val="center"/>
          </w:tcPr>
          <w:p w14:paraId="0CB00CBA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Estrategia realizada</w:t>
            </w:r>
          </w:p>
        </w:tc>
      </w:tr>
      <w:tr w:rsidR="00685358" w:rsidRPr="00D84004" w14:paraId="6D52D884" w14:textId="77777777" w:rsidTr="00DC0209">
        <w:tc>
          <w:tcPr>
            <w:tcW w:w="2123" w:type="dxa"/>
            <w:vAlign w:val="center"/>
          </w:tcPr>
          <w:p w14:paraId="6373DCDB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Multiplicar capital por 2</w:t>
            </w:r>
          </w:p>
        </w:tc>
        <w:tc>
          <w:tcPr>
            <w:tcW w:w="2123" w:type="dxa"/>
            <w:vAlign w:val="center"/>
          </w:tcPr>
          <w:p w14:paraId="6EECA03D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3 años</w:t>
            </w:r>
          </w:p>
        </w:tc>
        <w:tc>
          <w:tcPr>
            <w:tcW w:w="2124" w:type="dxa"/>
            <w:vAlign w:val="center"/>
          </w:tcPr>
          <w:p w14:paraId="06CC2678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ROI &gt; 100%</w:t>
            </w:r>
          </w:p>
        </w:tc>
        <w:tc>
          <w:tcPr>
            <w:tcW w:w="2124" w:type="dxa"/>
            <w:vAlign w:val="center"/>
          </w:tcPr>
          <w:p w14:paraId="60EC890E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DCS en altcoins y staking</w:t>
            </w:r>
          </w:p>
        </w:tc>
      </w:tr>
      <w:tr w:rsidR="00685358" w:rsidRPr="00D84004" w14:paraId="0B2847EC" w14:textId="77777777" w:rsidTr="00DC0209">
        <w:tc>
          <w:tcPr>
            <w:tcW w:w="2123" w:type="dxa"/>
            <w:vAlign w:val="center"/>
          </w:tcPr>
          <w:p w14:paraId="1E493884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Proteger contra inflación</w:t>
            </w:r>
          </w:p>
        </w:tc>
        <w:tc>
          <w:tcPr>
            <w:tcW w:w="2123" w:type="dxa"/>
            <w:vAlign w:val="center"/>
          </w:tcPr>
          <w:p w14:paraId="7A09DD77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Constante</w:t>
            </w:r>
          </w:p>
        </w:tc>
        <w:tc>
          <w:tcPr>
            <w:tcW w:w="2124" w:type="dxa"/>
            <w:vAlign w:val="center"/>
          </w:tcPr>
          <w:p w14:paraId="6782234D" w14:textId="77777777" w:rsidR="00685358" w:rsidRPr="00AA3F36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 w:rsidRPr="00AA3F36">
              <w:rPr>
                <w:rFonts w:eastAsiaTheme="minorEastAsia"/>
                <w:sz w:val="22"/>
                <w:szCs w:val="22"/>
                <w:lang w:eastAsia="es-ES"/>
              </w:rPr>
              <w:t>&gt;</w:t>
            </w: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5% rendimiento anual</w:t>
            </w:r>
          </w:p>
        </w:tc>
        <w:tc>
          <w:tcPr>
            <w:tcW w:w="2124" w:type="dxa"/>
            <w:vAlign w:val="center"/>
          </w:tcPr>
          <w:p w14:paraId="06913198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Stablecoins +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CeFi</w:t>
            </w:r>
            <w:proofErr w:type="spellEnd"/>
          </w:p>
        </w:tc>
      </w:tr>
      <w:tr w:rsidR="00685358" w:rsidRPr="00D84004" w14:paraId="0C7BD584" w14:textId="77777777" w:rsidTr="00DC0209">
        <w:tc>
          <w:tcPr>
            <w:tcW w:w="2123" w:type="dxa"/>
            <w:vAlign w:val="center"/>
          </w:tcPr>
          <w:p w14:paraId="235BE8F3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Exposición tecnológica</w:t>
            </w:r>
          </w:p>
        </w:tc>
        <w:tc>
          <w:tcPr>
            <w:tcW w:w="2123" w:type="dxa"/>
            <w:vAlign w:val="center"/>
          </w:tcPr>
          <w:p w14:paraId="18047F4E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 año</w:t>
            </w:r>
          </w:p>
        </w:tc>
        <w:tc>
          <w:tcPr>
            <w:tcW w:w="2124" w:type="dxa"/>
            <w:vAlign w:val="center"/>
          </w:tcPr>
          <w:p w14:paraId="7F94A2AE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Participación en L2, Web·, IA, etc.</w:t>
            </w:r>
          </w:p>
        </w:tc>
        <w:tc>
          <w:tcPr>
            <w:tcW w:w="2124" w:type="dxa"/>
            <w:vAlign w:val="center"/>
          </w:tcPr>
          <w:p w14:paraId="0431FB21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Tokenización diversificada</w:t>
            </w:r>
          </w:p>
        </w:tc>
      </w:tr>
    </w:tbl>
    <w:p w14:paraId="05BAE918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76: Definición de los objetivos financieros.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E8D03C6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32D6BCC4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lastRenderedPageBreak/>
        <w:t>SECCIÓN</w:t>
      </w:r>
      <w:r>
        <w:rPr>
          <w:rFonts w:eastAsiaTheme="minorEastAsia"/>
          <w:i/>
          <w:iCs/>
          <w:lang w:eastAsia="es-ES"/>
        </w:rPr>
        <w:t xml:space="preserve"> 3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Construcción del portafolio</w:t>
      </w:r>
    </w:p>
    <w:p w14:paraId="73146C03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>Esta sección</w:t>
      </w:r>
      <w:r>
        <w:rPr>
          <w:rFonts w:eastAsiaTheme="minorEastAsia"/>
          <w:lang w:eastAsia="es-ES"/>
        </w:rPr>
        <w:t>,</w:t>
      </w:r>
      <w:r w:rsidRPr="00275C96">
        <w:t xml:space="preserve"> </w:t>
      </w:r>
      <w:r>
        <w:rPr>
          <w:rFonts w:eastAsiaTheme="minorEastAsia"/>
          <w:lang w:eastAsia="es-ES"/>
        </w:rPr>
        <w:t>u</w:t>
      </w:r>
      <w:r w:rsidRPr="00275C96">
        <w:rPr>
          <w:rFonts w:eastAsiaTheme="minorEastAsia"/>
          <w:lang w:eastAsia="es-ES"/>
        </w:rPr>
        <w:t>na vez definido</w:t>
      </w:r>
      <w:r>
        <w:rPr>
          <w:rFonts w:eastAsiaTheme="minorEastAsia"/>
          <w:lang w:eastAsia="es-ES"/>
        </w:rPr>
        <w:t>s los objetivos financieros</w:t>
      </w:r>
      <w:r w:rsidRPr="00275C96">
        <w:rPr>
          <w:rFonts w:eastAsiaTheme="minorEastAsia"/>
          <w:lang w:eastAsia="es-ES"/>
        </w:rPr>
        <w:t xml:space="preserve">, se recomienda usar herramientas como </w:t>
      </w:r>
      <w:proofErr w:type="spellStart"/>
      <w:r w:rsidRPr="00275C96">
        <w:rPr>
          <w:rFonts w:eastAsiaTheme="minorEastAsia"/>
          <w:lang w:eastAsia="es-ES"/>
        </w:rPr>
        <w:t>CoinMarketCap</w:t>
      </w:r>
      <w:proofErr w:type="spellEnd"/>
      <w:r w:rsidRPr="00275C96">
        <w:rPr>
          <w:rFonts w:eastAsiaTheme="minorEastAsia"/>
          <w:lang w:eastAsia="es-ES"/>
        </w:rPr>
        <w:t xml:space="preserve"> </w:t>
      </w:r>
      <w:proofErr w:type="spellStart"/>
      <w:r w:rsidRPr="00275C96">
        <w:rPr>
          <w:rFonts w:eastAsiaTheme="minorEastAsia"/>
          <w:lang w:eastAsia="es-ES"/>
        </w:rPr>
        <w:t>watchlists</w:t>
      </w:r>
      <w:proofErr w:type="spellEnd"/>
      <w:r w:rsidRPr="00275C96">
        <w:rPr>
          <w:rFonts w:eastAsiaTheme="minorEastAsia"/>
          <w:lang w:eastAsia="es-ES"/>
        </w:rPr>
        <w:t xml:space="preserve">, </w:t>
      </w:r>
      <w:proofErr w:type="spellStart"/>
      <w:r w:rsidRPr="00275C96">
        <w:rPr>
          <w:rFonts w:eastAsiaTheme="minorEastAsia"/>
          <w:lang w:eastAsia="es-ES"/>
        </w:rPr>
        <w:t>CoinGecko</w:t>
      </w:r>
      <w:proofErr w:type="spellEnd"/>
      <w:r w:rsidRPr="00275C96">
        <w:rPr>
          <w:rFonts w:eastAsiaTheme="minorEastAsia"/>
          <w:lang w:eastAsia="es-ES"/>
        </w:rPr>
        <w:t xml:space="preserve"> o apps como </w:t>
      </w:r>
      <w:proofErr w:type="spellStart"/>
      <w:r w:rsidRPr="00275C96">
        <w:rPr>
          <w:rFonts w:eastAsiaTheme="minorEastAsia"/>
          <w:lang w:eastAsia="es-ES"/>
        </w:rPr>
        <w:t>Zerion</w:t>
      </w:r>
      <w:proofErr w:type="spellEnd"/>
      <w:r w:rsidRPr="00275C96">
        <w:rPr>
          <w:rFonts w:eastAsiaTheme="minorEastAsia"/>
          <w:lang w:eastAsia="es-ES"/>
        </w:rPr>
        <w:t xml:space="preserve"> para seguimiento.</w:t>
      </w:r>
    </w:p>
    <w:p w14:paraId="7180B3DC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85358" w:rsidRPr="00D84004" w14:paraId="5426DCB2" w14:textId="77777777" w:rsidTr="00DC0209">
        <w:tc>
          <w:tcPr>
            <w:tcW w:w="2123" w:type="dxa"/>
            <w:vAlign w:val="center"/>
          </w:tcPr>
          <w:p w14:paraId="7180FA07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Tipo de activo</w:t>
            </w:r>
          </w:p>
        </w:tc>
        <w:tc>
          <w:tcPr>
            <w:tcW w:w="2123" w:type="dxa"/>
            <w:vAlign w:val="center"/>
          </w:tcPr>
          <w:p w14:paraId="7C04C92A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% asignado</w:t>
            </w:r>
          </w:p>
        </w:tc>
        <w:tc>
          <w:tcPr>
            <w:tcW w:w="2124" w:type="dxa"/>
            <w:vAlign w:val="center"/>
          </w:tcPr>
          <w:p w14:paraId="5EA63C61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Proyecto (ejemplo)</w:t>
            </w:r>
          </w:p>
        </w:tc>
        <w:tc>
          <w:tcPr>
            <w:tcW w:w="2124" w:type="dxa"/>
            <w:vAlign w:val="center"/>
          </w:tcPr>
          <w:p w14:paraId="2A673346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Estrategia</w:t>
            </w:r>
          </w:p>
        </w:tc>
      </w:tr>
      <w:tr w:rsidR="00685358" w:rsidRPr="00D84004" w14:paraId="7814E9D9" w14:textId="77777777" w:rsidTr="00DC0209">
        <w:tc>
          <w:tcPr>
            <w:tcW w:w="2123" w:type="dxa"/>
            <w:vAlign w:val="center"/>
          </w:tcPr>
          <w:p w14:paraId="71ED7174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Bitcoin (BTC)</w:t>
            </w:r>
          </w:p>
        </w:tc>
        <w:tc>
          <w:tcPr>
            <w:tcW w:w="2123" w:type="dxa"/>
            <w:vAlign w:val="center"/>
          </w:tcPr>
          <w:p w14:paraId="3D265259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35%</w:t>
            </w:r>
          </w:p>
        </w:tc>
        <w:tc>
          <w:tcPr>
            <w:tcW w:w="2124" w:type="dxa"/>
            <w:vAlign w:val="center"/>
          </w:tcPr>
          <w:p w14:paraId="0231E6B2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BTC</w:t>
            </w:r>
          </w:p>
        </w:tc>
        <w:tc>
          <w:tcPr>
            <w:tcW w:w="2124" w:type="dxa"/>
            <w:vAlign w:val="center"/>
          </w:tcPr>
          <w:p w14:paraId="4F6BDD48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Reserva de valor o DCA</w:t>
            </w:r>
          </w:p>
        </w:tc>
      </w:tr>
      <w:tr w:rsidR="00685358" w:rsidRPr="00D84004" w14:paraId="50803D7E" w14:textId="77777777" w:rsidTr="00DC0209">
        <w:tc>
          <w:tcPr>
            <w:tcW w:w="2123" w:type="dxa"/>
            <w:vAlign w:val="center"/>
          </w:tcPr>
          <w:p w14:paraId="555C20BE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Ethereum (ETH)</w:t>
            </w:r>
          </w:p>
        </w:tc>
        <w:tc>
          <w:tcPr>
            <w:tcW w:w="2123" w:type="dxa"/>
            <w:vAlign w:val="center"/>
          </w:tcPr>
          <w:p w14:paraId="4A60FD0D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25%</w:t>
            </w:r>
          </w:p>
        </w:tc>
        <w:tc>
          <w:tcPr>
            <w:tcW w:w="2124" w:type="dxa"/>
            <w:vAlign w:val="center"/>
          </w:tcPr>
          <w:p w14:paraId="05D8C85F" w14:textId="77777777" w:rsidR="00685358" w:rsidRPr="00AA3F36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ETH</w:t>
            </w:r>
          </w:p>
        </w:tc>
        <w:tc>
          <w:tcPr>
            <w:tcW w:w="2124" w:type="dxa"/>
            <w:vAlign w:val="center"/>
          </w:tcPr>
          <w:p w14:paraId="688BA685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Infraestructura L1</w:t>
            </w:r>
          </w:p>
        </w:tc>
      </w:tr>
      <w:tr w:rsidR="00685358" w:rsidRPr="00D84004" w14:paraId="251D0DEB" w14:textId="77777777" w:rsidTr="00DC0209">
        <w:tc>
          <w:tcPr>
            <w:tcW w:w="2123" w:type="dxa"/>
            <w:vAlign w:val="center"/>
          </w:tcPr>
          <w:p w14:paraId="62C3EA4E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Altcoins sólidas</w:t>
            </w:r>
          </w:p>
        </w:tc>
        <w:tc>
          <w:tcPr>
            <w:tcW w:w="2123" w:type="dxa"/>
            <w:vAlign w:val="center"/>
          </w:tcPr>
          <w:p w14:paraId="1100A2E2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20%</w:t>
            </w:r>
          </w:p>
        </w:tc>
        <w:tc>
          <w:tcPr>
            <w:tcW w:w="2124" w:type="dxa"/>
            <w:vAlign w:val="center"/>
          </w:tcPr>
          <w:p w14:paraId="607564D5" w14:textId="77777777" w:rsidR="00685358" w:rsidRPr="00AA3F36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AVAX, LNK, MATIC, etc.</w:t>
            </w:r>
          </w:p>
        </w:tc>
        <w:tc>
          <w:tcPr>
            <w:tcW w:w="2124" w:type="dxa"/>
            <w:vAlign w:val="center"/>
          </w:tcPr>
          <w:p w14:paraId="12AA2A14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Innovación + rendimiento</w:t>
            </w:r>
          </w:p>
        </w:tc>
      </w:tr>
      <w:tr w:rsidR="00685358" w:rsidRPr="00D84004" w14:paraId="1A41E178" w14:textId="77777777" w:rsidTr="00DC0209">
        <w:tc>
          <w:tcPr>
            <w:tcW w:w="2123" w:type="dxa"/>
            <w:vAlign w:val="center"/>
          </w:tcPr>
          <w:p w14:paraId="66ABC33D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Stablecoins</w:t>
            </w:r>
          </w:p>
        </w:tc>
        <w:tc>
          <w:tcPr>
            <w:tcW w:w="2123" w:type="dxa"/>
            <w:vAlign w:val="center"/>
          </w:tcPr>
          <w:p w14:paraId="666DF750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10%</w:t>
            </w:r>
          </w:p>
        </w:tc>
        <w:tc>
          <w:tcPr>
            <w:tcW w:w="2124" w:type="dxa"/>
            <w:vAlign w:val="center"/>
          </w:tcPr>
          <w:p w14:paraId="23B5B771" w14:textId="77777777" w:rsidR="00685358" w:rsidRPr="00AA3F36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USC, DAI, etc.</w:t>
            </w:r>
          </w:p>
        </w:tc>
        <w:tc>
          <w:tcPr>
            <w:tcW w:w="2124" w:type="dxa"/>
            <w:vAlign w:val="center"/>
          </w:tcPr>
          <w:p w14:paraId="0D4B3BCD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Protección, staking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CeFI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</w:tr>
      <w:tr w:rsidR="00685358" w:rsidRPr="00D84004" w14:paraId="2808D8D5" w14:textId="77777777" w:rsidTr="00DC0209">
        <w:tc>
          <w:tcPr>
            <w:tcW w:w="2123" w:type="dxa"/>
            <w:vAlign w:val="center"/>
          </w:tcPr>
          <w:p w14:paraId="6C7382B2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Riesgo alto (DeFi)</w:t>
            </w:r>
          </w:p>
        </w:tc>
        <w:tc>
          <w:tcPr>
            <w:tcW w:w="2123" w:type="dxa"/>
            <w:vAlign w:val="center"/>
          </w:tcPr>
          <w:p w14:paraId="2669D928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10%</w:t>
            </w:r>
          </w:p>
        </w:tc>
        <w:tc>
          <w:tcPr>
            <w:tcW w:w="2124" w:type="dxa"/>
            <w:vAlign w:val="center"/>
          </w:tcPr>
          <w:p w14:paraId="45BC9BFD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GMX, AAVE, RLB, etc.</w:t>
            </w:r>
          </w:p>
        </w:tc>
        <w:tc>
          <w:tcPr>
            <w:tcW w:w="2124" w:type="dxa"/>
            <w:vAlign w:val="center"/>
          </w:tcPr>
          <w:p w14:paraId="6FB9052F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Rendimiento,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farming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</w:tr>
    </w:tbl>
    <w:p w14:paraId="7673277C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77: Construcción del portafolio.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3ABEC485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4386018D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06F652E5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4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Estrategia de entrada y salida de la inversión</w:t>
      </w:r>
    </w:p>
    <w:p w14:paraId="32D6D869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>Esta secció</w:t>
      </w:r>
      <w:r>
        <w:rPr>
          <w:rFonts w:eastAsiaTheme="minorEastAsia"/>
          <w:lang w:eastAsia="es-ES"/>
        </w:rPr>
        <w:t xml:space="preserve">n, estableciendo una estrategia de entrada y salida de las criptoinversiones, </w:t>
      </w:r>
      <w:r w:rsidRPr="00E21F65">
        <w:rPr>
          <w:rFonts w:eastAsiaTheme="minorEastAsia"/>
          <w:lang w:eastAsia="es-ES"/>
        </w:rPr>
        <w:t>evita decisiones impulsivas</w:t>
      </w:r>
      <w:r>
        <w:rPr>
          <w:rFonts w:eastAsiaTheme="minorEastAsia"/>
          <w:lang w:eastAsia="es-ES"/>
        </w:rPr>
        <w:t xml:space="preserve"> a la hora de invertir</w:t>
      </w:r>
      <w:r w:rsidRPr="00E21F65">
        <w:rPr>
          <w:rFonts w:eastAsiaTheme="minorEastAsia"/>
          <w:lang w:eastAsia="es-ES"/>
        </w:rPr>
        <w:t>. Se recomienda automatizar alarmas o usar bots (con precaución).</w:t>
      </w:r>
    </w:p>
    <w:p w14:paraId="7738F6FA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85358" w:rsidRPr="00D84004" w14:paraId="51650B3A" w14:textId="77777777" w:rsidTr="00DC0209">
        <w:tc>
          <w:tcPr>
            <w:tcW w:w="2123" w:type="dxa"/>
            <w:vAlign w:val="center"/>
          </w:tcPr>
          <w:p w14:paraId="5F67D5EC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Activo</w:t>
            </w:r>
          </w:p>
        </w:tc>
        <w:tc>
          <w:tcPr>
            <w:tcW w:w="2123" w:type="dxa"/>
            <w:vAlign w:val="center"/>
          </w:tcPr>
          <w:p w14:paraId="2D869760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Estrategia de entrada</w:t>
            </w:r>
          </w:p>
        </w:tc>
        <w:tc>
          <w:tcPr>
            <w:tcW w:w="2124" w:type="dxa"/>
            <w:vAlign w:val="center"/>
          </w:tcPr>
          <w:p w14:paraId="1F6A1325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Condiciones de salida</w:t>
            </w:r>
          </w:p>
        </w:tc>
        <w:tc>
          <w:tcPr>
            <w:tcW w:w="2124" w:type="dxa"/>
            <w:vAlign w:val="center"/>
          </w:tcPr>
          <w:p w14:paraId="436D410B" w14:textId="77777777" w:rsidR="00685358" w:rsidRPr="00D84004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Herramientas de seguimiento</w:t>
            </w:r>
          </w:p>
        </w:tc>
      </w:tr>
      <w:tr w:rsidR="00685358" w:rsidRPr="00D84004" w14:paraId="72B9641B" w14:textId="77777777" w:rsidTr="00DC0209">
        <w:tc>
          <w:tcPr>
            <w:tcW w:w="2123" w:type="dxa"/>
            <w:vAlign w:val="center"/>
          </w:tcPr>
          <w:p w14:paraId="2C6C8DCF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ETH</w:t>
            </w:r>
          </w:p>
        </w:tc>
        <w:tc>
          <w:tcPr>
            <w:tcW w:w="2123" w:type="dxa"/>
            <w:vAlign w:val="center"/>
          </w:tcPr>
          <w:p w14:paraId="5B88FA97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DCA semanal 50€</w:t>
            </w:r>
          </w:p>
        </w:tc>
        <w:tc>
          <w:tcPr>
            <w:tcW w:w="2124" w:type="dxa"/>
            <w:vAlign w:val="center"/>
          </w:tcPr>
          <w:p w14:paraId="31025C22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Precio objetivo 3.000€ o señales técnicas</w:t>
            </w:r>
          </w:p>
        </w:tc>
        <w:tc>
          <w:tcPr>
            <w:tcW w:w="2124" w:type="dxa"/>
            <w:vAlign w:val="center"/>
          </w:tcPr>
          <w:p w14:paraId="42953FB2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TradingView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CoinMarketCap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alerts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</w:tr>
      <w:tr w:rsidR="00685358" w:rsidRPr="00D84004" w14:paraId="56688C2B" w14:textId="77777777" w:rsidTr="00DC0209">
        <w:tc>
          <w:tcPr>
            <w:tcW w:w="2123" w:type="dxa"/>
            <w:vAlign w:val="center"/>
          </w:tcPr>
          <w:p w14:paraId="4D4254D9" w14:textId="77777777" w:rsidR="00685358" w:rsidRPr="00D84004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AAVE</w:t>
            </w:r>
          </w:p>
        </w:tc>
        <w:tc>
          <w:tcPr>
            <w:tcW w:w="2123" w:type="dxa"/>
            <w:vAlign w:val="center"/>
          </w:tcPr>
          <w:p w14:paraId="04BDD809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Buy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the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dip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-20%</w:t>
            </w:r>
          </w:p>
        </w:tc>
        <w:tc>
          <w:tcPr>
            <w:tcW w:w="2124" w:type="dxa"/>
            <w:vAlign w:val="center"/>
          </w:tcPr>
          <w:p w14:paraId="02158486" w14:textId="77777777" w:rsidR="00685358" w:rsidRPr="00AA3F36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Si pierde soporte en la semana</w:t>
            </w:r>
          </w:p>
        </w:tc>
        <w:tc>
          <w:tcPr>
            <w:tcW w:w="2124" w:type="dxa"/>
            <w:vAlign w:val="center"/>
          </w:tcPr>
          <w:p w14:paraId="0E89C573" w14:textId="77777777" w:rsidR="00685358" w:rsidRPr="00D84004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Glassnode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CoinMetrics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</w:tr>
    </w:tbl>
    <w:p w14:paraId="03D631BB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78: Estrategia de entrada y salida de la inversión.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4B3E79D2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36D4518B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0A491CB0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5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Gestión de riesgo y protección</w:t>
      </w:r>
    </w:p>
    <w:p w14:paraId="31DE4196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 xml:space="preserve">se establece cómo se va a gestionar el riesgo de la inversión en criptoactivos. </w:t>
      </w:r>
      <w:r w:rsidRPr="004C3B11">
        <w:rPr>
          <w:rFonts w:eastAsiaTheme="minorEastAsia"/>
          <w:lang w:eastAsia="es-ES"/>
        </w:rPr>
        <w:t>La protección del capital es tan importante como su crecimiento. El riesgo debe ser personalizado según perfil inversor.</w:t>
      </w:r>
    </w:p>
    <w:p w14:paraId="3686F36E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685358" w:rsidRPr="00F10F58" w14:paraId="14C22004" w14:textId="77777777" w:rsidTr="00DC0209">
        <w:tc>
          <w:tcPr>
            <w:tcW w:w="4531" w:type="dxa"/>
            <w:vAlign w:val="center"/>
          </w:tcPr>
          <w:p w14:paraId="723597ED" w14:textId="77777777" w:rsidR="00685358" w:rsidRPr="00F10F5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963" w:type="dxa"/>
            <w:vAlign w:val="center"/>
          </w:tcPr>
          <w:p w14:paraId="0D125E8E" w14:textId="77777777" w:rsidR="00685358" w:rsidRPr="00F10F5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Acción</w:t>
            </w:r>
          </w:p>
        </w:tc>
      </w:tr>
      <w:tr w:rsidR="00685358" w:rsidRPr="00F10F58" w14:paraId="39CFFE26" w14:textId="77777777" w:rsidTr="00DC0209">
        <w:tc>
          <w:tcPr>
            <w:tcW w:w="4531" w:type="dxa"/>
            <w:vAlign w:val="center"/>
          </w:tcPr>
          <w:p w14:paraId="7652F64B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Porcentaje máximo por operación</w:t>
            </w:r>
          </w:p>
        </w:tc>
        <w:tc>
          <w:tcPr>
            <w:tcW w:w="3963" w:type="dxa"/>
            <w:vAlign w:val="center"/>
          </w:tcPr>
          <w:p w14:paraId="67BF87F7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5%</w:t>
            </w:r>
          </w:p>
        </w:tc>
      </w:tr>
      <w:tr w:rsidR="00685358" w:rsidRPr="00F10F58" w14:paraId="231F10ED" w14:textId="77777777" w:rsidTr="00DC0209">
        <w:tc>
          <w:tcPr>
            <w:tcW w:w="4531" w:type="dxa"/>
            <w:vAlign w:val="center"/>
          </w:tcPr>
          <w:p w14:paraId="7B55D576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Stop loss recomendado</w:t>
            </w:r>
          </w:p>
        </w:tc>
        <w:tc>
          <w:tcPr>
            <w:tcW w:w="3963" w:type="dxa"/>
            <w:vAlign w:val="center"/>
          </w:tcPr>
          <w:p w14:paraId="26EB1205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-15%</w:t>
            </w:r>
          </w:p>
        </w:tc>
      </w:tr>
      <w:tr w:rsidR="00685358" w:rsidRPr="00F10F58" w14:paraId="6495DB43" w14:textId="77777777" w:rsidTr="00DC0209">
        <w:tc>
          <w:tcPr>
            <w:tcW w:w="4531" w:type="dxa"/>
            <w:vAlign w:val="center"/>
          </w:tcPr>
          <w:p w14:paraId="79D91608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Diversificación por sector</w:t>
            </w:r>
          </w:p>
        </w:tc>
        <w:tc>
          <w:tcPr>
            <w:tcW w:w="3963" w:type="dxa"/>
            <w:vAlign w:val="center"/>
          </w:tcPr>
          <w:p w14:paraId="182F2B1E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Sí</w:t>
            </w:r>
          </w:p>
        </w:tc>
      </w:tr>
      <w:tr w:rsidR="00685358" w:rsidRPr="00F10F58" w14:paraId="1E26AD3E" w14:textId="77777777" w:rsidTr="00DC0209">
        <w:tc>
          <w:tcPr>
            <w:tcW w:w="4531" w:type="dxa"/>
            <w:vAlign w:val="center"/>
          </w:tcPr>
          <w:p w14:paraId="64099079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Uso de cold wallets</w:t>
            </w:r>
          </w:p>
        </w:tc>
        <w:tc>
          <w:tcPr>
            <w:tcW w:w="3963" w:type="dxa"/>
            <w:vAlign w:val="center"/>
          </w:tcPr>
          <w:p w14:paraId="5DF86AD1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Legper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 para 70%</w:t>
            </w:r>
          </w:p>
        </w:tc>
      </w:tr>
      <w:tr w:rsidR="00685358" w:rsidRPr="00F10F58" w14:paraId="76258F02" w14:textId="77777777" w:rsidTr="00DC0209">
        <w:tc>
          <w:tcPr>
            <w:tcW w:w="4531" w:type="dxa"/>
            <w:vAlign w:val="center"/>
          </w:tcPr>
          <w:p w14:paraId="4CD0EAC8" w14:textId="77777777" w:rsidR="00685358" w:rsidRPr="00F10F5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Cobertura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hedging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)</w:t>
            </w:r>
          </w:p>
        </w:tc>
        <w:tc>
          <w:tcPr>
            <w:tcW w:w="3963" w:type="dxa"/>
            <w:vAlign w:val="center"/>
          </w:tcPr>
          <w:p w14:paraId="05CBCA89" w14:textId="77777777" w:rsidR="00685358" w:rsidRPr="00F10F5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Operaciones BTC (opcional)</w:t>
            </w:r>
          </w:p>
        </w:tc>
      </w:tr>
    </w:tbl>
    <w:p w14:paraId="19EC2422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79: Gestión de riesgo y protección.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1332EF1E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240BFF4F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7B4E3005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0195241C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5196F60D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276A2D30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2F544EEC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50648E52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lastRenderedPageBreak/>
        <w:t>SECCIÓN</w:t>
      </w:r>
      <w:r>
        <w:rPr>
          <w:rFonts w:eastAsiaTheme="minorEastAsia"/>
          <w:i/>
          <w:iCs/>
          <w:lang w:eastAsia="es-ES"/>
        </w:rPr>
        <w:t xml:space="preserve"> 6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Revisión periódica y ajustes</w:t>
      </w:r>
    </w:p>
    <w:p w14:paraId="3CB4D0C8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>se analiza y revisan de forma diaria, semanal, mensual, trimestral, semestral o anual, las inversiones realizadas</w:t>
      </w:r>
      <w:r w:rsidRPr="004C3B11">
        <w:rPr>
          <w:rFonts w:eastAsiaTheme="minorEastAsia"/>
          <w:lang w:eastAsia="es-ES"/>
        </w:rPr>
        <w:t>.</w:t>
      </w:r>
      <w:r>
        <w:rPr>
          <w:rFonts w:eastAsiaTheme="minorEastAsia"/>
          <w:lang w:eastAsia="es-ES"/>
        </w:rPr>
        <w:t xml:space="preserve"> </w:t>
      </w:r>
      <w:r w:rsidRPr="004F4C1B">
        <w:rPr>
          <w:rFonts w:eastAsiaTheme="minorEastAsia"/>
          <w:lang w:eastAsia="es-ES"/>
        </w:rPr>
        <w:t>El roadmap no es estático. El mercado cambia, y tú también</w:t>
      </w:r>
      <w:r>
        <w:rPr>
          <w:rFonts w:eastAsiaTheme="minorEastAsia"/>
          <w:lang w:eastAsia="es-ES"/>
        </w:rPr>
        <w:t xml:space="preserve"> puedes cambiar de estrategia</w:t>
      </w:r>
      <w:r w:rsidRPr="004F4C1B">
        <w:rPr>
          <w:rFonts w:eastAsiaTheme="minorEastAsia"/>
          <w:lang w:eastAsia="es-ES"/>
        </w:rPr>
        <w:t>. Lo importante es tener estructura para decidir con criterio.</w:t>
      </w:r>
    </w:p>
    <w:p w14:paraId="7FBA5F32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85358" w:rsidRPr="004A6668" w14:paraId="38DACD25" w14:textId="77777777" w:rsidTr="00DC0209">
        <w:tc>
          <w:tcPr>
            <w:tcW w:w="2831" w:type="dxa"/>
            <w:vAlign w:val="center"/>
          </w:tcPr>
          <w:p w14:paraId="2BE2F980" w14:textId="77777777" w:rsidR="00685358" w:rsidRPr="004A666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Frecuencia</w:t>
            </w:r>
          </w:p>
        </w:tc>
        <w:tc>
          <w:tcPr>
            <w:tcW w:w="2831" w:type="dxa"/>
            <w:vAlign w:val="center"/>
          </w:tcPr>
          <w:p w14:paraId="3D8A7266" w14:textId="77777777" w:rsidR="00685358" w:rsidRPr="004A666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Métrica de evaluación</w:t>
            </w:r>
          </w:p>
        </w:tc>
        <w:tc>
          <w:tcPr>
            <w:tcW w:w="2832" w:type="dxa"/>
            <w:vAlign w:val="center"/>
          </w:tcPr>
          <w:p w14:paraId="0353972A" w14:textId="77777777" w:rsidR="00685358" w:rsidRPr="004A6668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Herramientas para evaluar</w:t>
            </w:r>
          </w:p>
        </w:tc>
      </w:tr>
      <w:tr w:rsidR="00685358" w:rsidRPr="004A6668" w14:paraId="32FE5BA0" w14:textId="77777777" w:rsidTr="00DC0209">
        <w:tc>
          <w:tcPr>
            <w:tcW w:w="2831" w:type="dxa"/>
            <w:vAlign w:val="center"/>
          </w:tcPr>
          <w:p w14:paraId="3CFCE8B3" w14:textId="77777777" w:rsidR="00685358" w:rsidRPr="004A666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Trimestral</w:t>
            </w:r>
          </w:p>
        </w:tc>
        <w:tc>
          <w:tcPr>
            <w:tcW w:w="2831" w:type="dxa"/>
            <w:vAlign w:val="center"/>
          </w:tcPr>
          <w:p w14:paraId="4D77E6DB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ROI, Sharpe Ratio o % aciertos</w:t>
            </w:r>
          </w:p>
        </w:tc>
        <w:tc>
          <w:tcPr>
            <w:tcW w:w="2832" w:type="dxa"/>
            <w:vAlign w:val="center"/>
          </w:tcPr>
          <w:p w14:paraId="0BE03282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Excel +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CoinTracking</w:t>
            </w:r>
            <w:proofErr w:type="spellEnd"/>
          </w:p>
        </w:tc>
      </w:tr>
      <w:tr w:rsidR="00685358" w:rsidRPr="004A6668" w14:paraId="6AABF50A" w14:textId="77777777" w:rsidTr="00DC0209">
        <w:tc>
          <w:tcPr>
            <w:tcW w:w="2831" w:type="dxa"/>
            <w:vAlign w:val="center"/>
          </w:tcPr>
          <w:p w14:paraId="630DDE04" w14:textId="77777777" w:rsidR="00685358" w:rsidRPr="004A666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Semestral</w:t>
            </w:r>
          </w:p>
        </w:tc>
        <w:tc>
          <w:tcPr>
            <w:tcW w:w="2831" w:type="dxa"/>
            <w:vAlign w:val="center"/>
          </w:tcPr>
          <w:p w14:paraId="260B37F1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Rotación de activos o nuevas tendencias</w:t>
            </w:r>
          </w:p>
        </w:tc>
        <w:tc>
          <w:tcPr>
            <w:tcW w:w="2832" w:type="dxa"/>
            <w:vAlign w:val="center"/>
          </w:tcPr>
          <w:p w14:paraId="176DCF07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Newsletters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análisis on-chain, etc.</w:t>
            </w:r>
          </w:p>
        </w:tc>
      </w:tr>
      <w:tr w:rsidR="00685358" w:rsidRPr="004A6668" w14:paraId="73936FBD" w14:textId="77777777" w:rsidTr="00DC0209">
        <w:tc>
          <w:tcPr>
            <w:tcW w:w="2831" w:type="dxa"/>
            <w:vAlign w:val="center"/>
          </w:tcPr>
          <w:p w14:paraId="61E474FF" w14:textId="77777777" w:rsidR="00685358" w:rsidRPr="004A6668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Anual</w:t>
            </w:r>
          </w:p>
        </w:tc>
        <w:tc>
          <w:tcPr>
            <w:tcW w:w="2831" w:type="dxa"/>
            <w:vAlign w:val="center"/>
          </w:tcPr>
          <w:p w14:paraId="146937DA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Redefinición de objetivos</w:t>
            </w:r>
          </w:p>
        </w:tc>
        <w:tc>
          <w:tcPr>
            <w:tcW w:w="2832" w:type="dxa"/>
            <w:vAlign w:val="center"/>
          </w:tcPr>
          <w:p w14:paraId="2390582D" w14:textId="77777777" w:rsidR="00685358" w:rsidRPr="004A6668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Asesoría + revisión personal</w:t>
            </w:r>
          </w:p>
        </w:tc>
      </w:tr>
    </w:tbl>
    <w:p w14:paraId="7A32AB1B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80: Revisión periódica y ajustes.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04DB17FC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6433C4AF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310D58DF" w14:textId="77777777" w:rsidR="00685358" w:rsidRPr="00D30013" w:rsidRDefault="00685358" w:rsidP="00685358">
      <w:pPr>
        <w:jc w:val="both"/>
        <w:rPr>
          <w:rFonts w:eastAsiaTheme="minorEastAsia"/>
          <w:i/>
          <w:iCs/>
          <w:lang w:eastAsia="es-ES"/>
        </w:rPr>
      </w:pPr>
      <w:r w:rsidRPr="00D30013">
        <w:rPr>
          <w:rFonts w:eastAsiaTheme="minorEastAsia"/>
          <w:i/>
          <w:iCs/>
          <w:lang w:eastAsia="es-ES"/>
        </w:rPr>
        <w:t>SECCIÓN</w:t>
      </w:r>
      <w:r>
        <w:rPr>
          <w:rFonts w:eastAsiaTheme="minorEastAsia"/>
          <w:i/>
          <w:iCs/>
          <w:lang w:eastAsia="es-ES"/>
        </w:rPr>
        <w:t xml:space="preserve"> 7</w:t>
      </w:r>
      <w:r w:rsidRPr="00D30013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Control fiscal y normativo</w:t>
      </w:r>
    </w:p>
    <w:p w14:paraId="6817410B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02221">
        <w:rPr>
          <w:rFonts w:eastAsiaTheme="minorEastAsia"/>
          <w:lang w:eastAsia="es-ES"/>
        </w:rPr>
        <w:t xml:space="preserve">Esta sección </w:t>
      </w:r>
      <w:r>
        <w:rPr>
          <w:rFonts w:eastAsiaTheme="minorEastAsia"/>
          <w:lang w:eastAsia="es-ES"/>
        </w:rPr>
        <w:t>se validan las diferentes obligaciones fiscales que hemos contraído con nuestra inversión en criptoactivos</w:t>
      </w:r>
      <w:r w:rsidRPr="004C3B11">
        <w:rPr>
          <w:rFonts w:eastAsiaTheme="minorEastAsia"/>
          <w:lang w:eastAsia="es-ES"/>
        </w:rPr>
        <w:t>.</w:t>
      </w:r>
      <w:r>
        <w:rPr>
          <w:rFonts w:eastAsiaTheme="minorEastAsia"/>
          <w:lang w:eastAsia="es-ES"/>
        </w:rPr>
        <w:t xml:space="preserve"> </w:t>
      </w:r>
      <w:r w:rsidRPr="006D7CEE">
        <w:rPr>
          <w:rFonts w:eastAsiaTheme="minorEastAsia"/>
          <w:lang w:eastAsia="es-ES"/>
        </w:rPr>
        <w:t>La falta de control fiscal puede invalidar todo el rendimiento conseguido. La transparencia ante la normativa es clave.</w:t>
      </w:r>
    </w:p>
    <w:p w14:paraId="5F2741A0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85358" w:rsidRPr="007B0067" w14:paraId="6037CF56" w14:textId="77777777" w:rsidTr="00DC0209">
        <w:tc>
          <w:tcPr>
            <w:tcW w:w="4247" w:type="dxa"/>
            <w:vAlign w:val="center"/>
          </w:tcPr>
          <w:p w14:paraId="000D6FEB" w14:textId="77777777" w:rsidR="00685358" w:rsidRPr="007B0067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4247" w:type="dxa"/>
            <w:vAlign w:val="center"/>
          </w:tcPr>
          <w:p w14:paraId="1E8B4737" w14:textId="77777777" w:rsidR="00685358" w:rsidRPr="007B0067" w:rsidRDefault="00685358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Estado</w:t>
            </w:r>
          </w:p>
        </w:tc>
      </w:tr>
      <w:tr w:rsidR="00685358" w:rsidRPr="007B0067" w14:paraId="381C8D15" w14:textId="77777777" w:rsidTr="00DC0209">
        <w:tc>
          <w:tcPr>
            <w:tcW w:w="4247" w:type="dxa"/>
            <w:vAlign w:val="center"/>
          </w:tcPr>
          <w:p w14:paraId="581A1339" w14:textId="77777777" w:rsidR="00685358" w:rsidRPr="007B0067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Declaración fiscal anual</w:t>
            </w:r>
          </w:p>
        </w:tc>
        <w:tc>
          <w:tcPr>
            <w:tcW w:w="4247" w:type="dxa"/>
            <w:vAlign w:val="center"/>
          </w:tcPr>
          <w:p w14:paraId="7B604AA5" w14:textId="77777777" w:rsidR="00685358" w:rsidRPr="007B0067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Realizado</w:t>
            </w:r>
          </w:p>
        </w:tc>
      </w:tr>
      <w:tr w:rsidR="00685358" w:rsidRPr="007B0067" w14:paraId="204D3792" w14:textId="77777777" w:rsidTr="00DC0209">
        <w:tc>
          <w:tcPr>
            <w:tcW w:w="4247" w:type="dxa"/>
            <w:vAlign w:val="center"/>
          </w:tcPr>
          <w:p w14:paraId="3A5D431C" w14:textId="77777777" w:rsidR="00685358" w:rsidRPr="007B0067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Registro de operaciones (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CoinTracking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Koinly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etc.)</w:t>
            </w:r>
          </w:p>
        </w:tc>
        <w:tc>
          <w:tcPr>
            <w:tcW w:w="4247" w:type="dxa"/>
            <w:vAlign w:val="center"/>
          </w:tcPr>
          <w:p w14:paraId="26E452E7" w14:textId="77777777" w:rsidR="00685358" w:rsidRPr="007B0067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Realizado</w:t>
            </w:r>
          </w:p>
        </w:tc>
      </w:tr>
      <w:tr w:rsidR="00685358" w:rsidRPr="007B0067" w14:paraId="5D6A78D0" w14:textId="77777777" w:rsidTr="00DC0209">
        <w:tc>
          <w:tcPr>
            <w:tcW w:w="4247" w:type="dxa"/>
            <w:vAlign w:val="center"/>
          </w:tcPr>
          <w:p w14:paraId="4D5992BC" w14:textId="77777777" w:rsidR="00685358" w:rsidRPr="007B0067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Wallets con historial exportable</w:t>
            </w:r>
          </w:p>
        </w:tc>
        <w:tc>
          <w:tcPr>
            <w:tcW w:w="4247" w:type="dxa"/>
            <w:vAlign w:val="center"/>
          </w:tcPr>
          <w:p w14:paraId="005F2711" w14:textId="77777777" w:rsidR="00685358" w:rsidRPr="007B0067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Realizado</w:t>
            </w:r>
          </w:p>
        </w:tc>
      </w:tr>
      <w:tr w:rsidR="00685358" w:rsidRPr="007B0067" w14:paraId="79B7E65A" w14:textId="77777777" w:rsidTr="00DC0209">
        <w:tc>
          <w:tcPr>
            <w:tcW w:w="4247" w:type="dxa"/>
            <w:vAlign w:val="center"/>
          </w:tcPr>
          <w:p w14:paraId="58A9A1E6" w14:textId="77777777" w:rsidR="00685358" w:rsidRPr="007B0067" w:rsidRDefault="00685358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Revisión legal (según país)</w:t>
            </w:r>
          </w:p>
        </w:tc>
        <w:tc>
          <w:tcPr>
            <w:tcW w:w="4247" w:type="dxa"/>
            <w:vAlign w:val="center"/>
          </w:tcPr>
          <w:p w14:paraId="7EB4D0B7" w14:textId="77777777" w:rsidR="00685358" w:rsidRPr="007B0067" w:rsidRDefault="00685358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En proceso</w:t>
            </w:r>
          </w:p>
        </w:tc>
      </w:tr>
    </w:tbl>
    <w:p w14:paraId="1F0CFDDD" w14:textId="77777777" w:rsidR="00685358" w:rsidRDefault="00685358" w:rsidP="00685358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81: Control fiscal y normativo. Elaboración propia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5073C1CE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03DED05C" w14:textId="77777777" w:rsidR="00685358" w:rsidRDefault="00685358" w:rsidP="00685358">
      <w:pPr>
        <w:jc w:val="both"/>
        <w:rPr>
          <w:rFonts w:eastAsiaTheme="minorEastAsia"/>
          <w:lang w:eastAsia="es-ES"/>
        </w:rPr>
      </w:pPr>
    </w:p>
    <w:p w14:paraId="15EC08B4" w14:textId="77777777" w:rsidR="00685358" w:rsidRPr="004B2D4D" w:rsidRDefault="00685358" w:rsidP="00685358">
      <w:pPr>
        <w:jc w:val="both"/>
        <w:rPr>
          <w:rFonts w:eastAsiaTheme="minorEastAsia"/>
          <w:b/>
          <w:bCs/>
          <w:lang w:eastAsia="es-ES"/>
        </w:rPr>
      </w:pPr>
      <w:r w:rsidRPr="004B2D4D">
        <w:rPr>
          <w:rFonts w:eastAsiaTheme="minorEastAsia"/>
          <w:b/>
          <w:bCs/>
          <w:lang w:eastAsia="es-ES"/>
        </w:rPr>
        <w:t>Resultado final</w:t>
      </w:r>
    </w:p>
    <w:p w14:paraId="1B16AC79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B2D4D">
        <w:rPr>
          <w:rFonts w:eastAsiaTheme="minorEastAsia"/>
          <w:lang w:eastAsia="es-ES"/>
        </w:rPr>
        <w:t xml:space="preserve">Esta </w:t>
      </w:r>
      <w:r>
        <w:rPr>
          <w:rFonts w:eastAsiaTheme="minorEastAsia"/>
          <w:lang w:eastAsia="es-ES"/>
        </w:rPr>
        <w:t>plantilla</w:t>
      </w:r>
      <w:r w:rsidRPr="004B2D4D">
        <w:rPr>
          <w:rFonts w:eastAsiaTheme="minorEastAsia"/>
          <w:lang w:eastAsia="es-ES"/>
        </w:rPr>
        <w:t xml:space="preserve"> ofrece una guía </w:t>
      </w:r>
      <w:r>
        <w:rPr>
          <w:rFonts w:eastAsiaTheme="minorEastAsia"/>
          <w:lang w:eastAsia="es-ES"/>
        </w:rPr>
        <w:t>por secciones</w:t>
      </w:r>
      <w:r w:rsidRPr="004B2D4D">
        <w:rPr>
          <w:rFonts w:eastAsiaTheme="minorEastAsia"/>
          <w:lang w:eastAsia="es-ES"/>
        </w:rPr>
        <w:t xml:space="preserve"> para construir una cartera </w:t>
      </w:r>
      <w:r>
        <w:rPr>
          <w:rFonts w:eastAsiaTheme="minorEastAsia"/>
          <w:lang w:eastAsia="es-ES"/>
        </w:rPr>
        <w:t>en consonancia</w:t>
      </w:r>
      <w:r w:rsidRPr="004B2D4D">
        <w:rPr>
          <w:rFonts w:eastAsiaTheme="minorEastAsia"/>
          <w:lang w:eastAsia="es-ES"/>
        </w:rPr>
        <w:t xml:space="preserve"> a </w:t>
      </w:r>
      <w:r>
        <w:rPr>
          <w:rFonts w:eastAsiaTheme="minorEastAsia"/>
          <w:lang w:eastAsia="es-ES"/>
        </w:rPr>
        <w:t>nuestra</w:t>
      </w:r>
      <w:r w:rsidRPr="004B2D4D">
        <w:rPr>
          <w:rFonts w:eastAsiaTheme="minorEastAsia"/>
          <w:lang w:eastAsia="es-ES"/>
        </w:rPr>
        <w:t xml:space="preserve"> realidad financiera y psicológica, con herramientas para aprender, adaptarte y prosperar.</w:t>
      </w:r>
    </w:p>
    <w:p w14:paraId="4FE35195" w14:textId="77777777" w:rsidR="00685358" w:rsidRDefault="00685358" w:rsidP="00685358">
      <w:pPr>
        <w:jc w:val="both"/>
        <w:rPr>
          <w:rFonts w:eastAsiaTheme="minorEastAsia"/>
          <w:lang w:eastAsia="es-ES"/>
        </w:rPr>
      </w:pPr>
      <w:r w:rsidRPr="004B2D4D">
        <w:rPr>
          <w:rFonts w:eastAsiaTheme="minorEastAsia"/>
          <w:lang w:eastAsia="es-ES"/>
        </w:rPr>
        <w:t xml:space="preserve">La inversión en criptoactivos no es un juego de azar ni una moda pasajera. La planificación es la única herramienta que permite </w:t>
      </w:r>
      <w:r>
        <w:rPr>
          <w:rFonts w:eastAsiaTheme="minorEastAsia"/>
          <w:lang w:eastAsia="es-ES"/>
        </w:rPr>
        <w:t>obtener</w:t>
      </w:r>
      <w:r w:rsidRPr="004B2D4D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el</w:t>
      </w:r>
      <w:r w:rsidRPr="004B2D4D">
        <w:rPr>
          <w:rFonts w:eastAsiaTheme="minorEastAsia"/>
          <w:lang w:eastAsia="es-ES"/>
        </w:rPr>
        <w:t xml:space="preserve"> éxito en un entorno volátil, técnico y emocionalmente exigente.</w:t>
      </w:r>
    </w:p>
    <w:p w14:paraId="28CC56A7" w14:textId="77777777" w:rsidR="00455277" w:rsidRDefault="00455277"/>
    <w:sectPr w:rsidR="00455277">
      <w:headerReference w:type="even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F94E0" w14:textId="77777777" w:rsidR="00885383" w:rsidRDefault="00885383" w:rsidP="00685358">
      <w:r>
        <w:separator/>
      </w:r>
    </w:p>
  </w:endnote>
  <w:endnote w:type="continuationSeparator" w:id="0">
    <w:p w14:paraId="0A9EC77F" w14:textId="77777777" w:rsidR="00885383" w:rsidRDefault="00885383" w:rsidP="0068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BBAC1" w14:textId="77777777" w:rsidR="00885383" w:rsidRDefault="00885383" w:rsidP="00685358">
      <w:r>
        <w:separator/>
      </w:r>
    </w:p>
  </w:footnote>
  <w:footnote w:type="continuationSeparator" w:id="0">
    <w:p w14:paraId="45277994" w14:textId="77777777" w:rsidR="00885383" w:rsidRDefault="00885383" w:rsidP="0068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73EA" w14:textId="75AC27BC" w:rsidR="00685358" w:rsidRDefault="00685358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7D401F" wp14:editId="0A02D84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870435196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C09BBA" w14:textId="7C231345" w:rsidR="00685358" w:rsidRPr="00685358" w:rsidRDefault="00685358" w:rsidP="006853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85358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7D401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4C09BBA" w14:textId="7C231345" w:rsidR="00685358" w:rsidRPr="00685358" w:rsidRDefault="00685358" w:rsidP="00685358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85358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72E96" w14:textId="50219688" w:rsidR="00685358" w:rsidRDefault="00685358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98B174" wp14:editId="60102CF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708651957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CE7CBD" w14:textId="309465C2" w:rsidR="00685358" w:rsidRPr="00685358" w:rsidRDefault="00685358" w:rsidP="0068535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85358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8B17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74CE7CBD" w14:textId="309465C2" w:rsidR="00685358" w:rsidRPr="00685358" w:rsidRDefault="00685358" w:rsidP="00685358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85358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443C8"/>
    <w:multiLevelType w:val="hybridMultilevel"/>
    <w:tmpl w:val="40C2AA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817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58"/>
    <w:rsid w:val="003A5D56"/>
    <w:rsid w:val="00407413"/>
    <w:rsid w:val="00455277"/>
    <w:rsid w:val="00685358"/>
    <w:rsid w:val="00885383"/>
    <w:rsid w:val="008B057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6EF440"/>
  <w15:chartTrackingRefBased/>
  <w15:docId w15:val="{E0E93F36-13C8-0240-B19E-BBE2171E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358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853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5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53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53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53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53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53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53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53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535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535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5358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5358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5358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5358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5358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5358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5358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6853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85358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6853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85358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6853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85358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68535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8535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5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5358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68535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85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8535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5358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A5D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D56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2025-08-28T11:46:00Z</dcterms:created>
  <dcterms:modified xsi:type="dcterms:W3CDTF">2025-08-28T11:46:00Z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65d7f5b5,33e1c97c,6ad4b626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2025-08-28T11:46:44Z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cda3a958-4ba9-4d90-972b-5c90ed02fe41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